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lvetwpi0th1z" w:id="0"/>
      <w:bookmarkEnd w:id="0"/>
      <w:r w:rsidDel="00000000" w:rsidR="00000000" w:rsidRPr="00000000">
        <w:rPr>
          <w:rtl w:val="0"/>
        </w:rPr>
        <w:t xml:space="preserve">1. Handleiding Toolkit EPS-retoursysteem voor zorgorganisaties</w:t>
      </w:r>
    </w:p>
    <w:p w:rsidR="00000000" w:rsidDel="00000000" w:rsidP="00000000" w:rsidRDefault="00000000" w:rsidRPr="00000000" w14:paraId="00000002">
      <w:pPr>
        <w:pStyle w:val="Subtitle"/>
        <w:rPr/>
      </w:pPr>
      <w:bookmarkStart w:colFirst="0" w:colLast="0" w:name="_vrb651oics7z" w:id="1"/>
      <w:bookmarkEnd w:id="1"/>
      <w:r w:rsidDel="00000000" w:rsidR="00000000" w:rsidRPr="00000000">
        <w:rPr>
          <w:rtl w:val="0"/>
        </w:rPr>
        <w:t xml:space="preserve">Deze handleiding geeft een overzicht van alle tools in de ‘toolkit EPS-retoursysteem zorgorganisaties’ van Stybenex. Per tool is hieronder kort beschreven waarvoor deze te gebruiken is.</w:t>
      </w:r>
    </w:p>
    <w:p w:rsidR="00000000" w:rsidDel="00000000" w:rsidP="00000000" w:rsidRDefault="00000000" w:rsidRPr="00000000" w14:paraId="00000003">
      <w:pPr>
        <w:pStyle w:val="Heading1"/>
        <w:rPr/>
      </w:pPr>
      <w:bookmarkStart w:colFirst="0" w:colLast="0" w:name="_bgpt6n1mz9g7" w:id="2"/>
      <w:bookmarkEnd w:id="2"/>
      <w:r w:rsidDel="00000000" w:rsidR="00000000" w:rsidRPr="00000000">
        <w:rPr>
          <w:rtl w:val="0"/>
        </w:rPr>
        <w:t xml:space="preserve">1.1 Routekaart EPS-retoursysteem zorgorganisaties</w:t>
      </w:r>
    </w:p>
    <w:p w:rsidR="00000000" w:rsidDel="00000000" w:rsidP="00000000" w:rsidRDefault="00000000" w:rsidRPr="00000000" w14:paraId="00000004">
      <w:pPr>
        <w:rPr/>
      </w:pPr>
      <w:r w:rsidDel="00000000" w:rsidR="00000000" w:rsidRPr="00000000">
        <w:rPr>
          <w:rtl w:val="0"/>
        </w:rPr>
        <w:t xml:space="preserve">Deze routekaart geeft in 8 stappen het proces weer dat te doorlopen is om te komen tot een geborgen EPS-retoursysteem voor een zorgorganisatie. Bij diverse stappen wordt verwezen naar een document dat onderdeel is van de ‘Toolkit EPS-retoursysteem zorgorganisatie’ van Stybenex.</w:t>
      </w:r>
      <w:r w:rsidDel="00000000" w:rsidR="00000000" w:rsidRPr="00000000">
        <w:rPr>
          <w:rtl w:val="0"/>
        </w:rPr>
      </w:r>
    </w:p>
    <w:p w:rsidR="00000000" w:rsidDel="00000000" w:rsidP="00000000" w:rsidRDefault="00000000" w:rsidRPr="00000000" w14:paraId="00000005">
      <w:pPr>
        <w:pStyle w:val="Heading1"/>
        <w:rPr/>
      </w:pPr>
      <w:bookmarkStart w:colFirst="0" w:colLast="0" w:name="_u69bile8iaeq" w:id="3"/>
      <w:bookmarkEnd w:id="3"/>
      <w:r w:rsidDel="00000000" w:rsidR="00000000" w:rsidRPr="00000000">
        <w:rPr>
          <w:rtl w:val="0"/>
        </w:rPr>
        <w:t xml:space="preserve">1.2 Algemene informatie EPS, recycling en milieu-impact</w:t>
      </w:r>
    </w:p>
    <w:p w:rsidR="00000000" w:rsidDel="00000000" w:rsidP="00000000" w:rsidRDefault="00000000" w:rsidRPr="00000000" w14:paraId="00000006">
      <w:pPr>
        <w:rPr/>
      </w:pPr>
      <w:r w:rsidDel="00000000" w:rsidR="00000000" w:rsidRPr="00000000">
        <w:rPr>
          <w:rtl w:val="0"/>
        </w:rPr>
        <w:t xml:space="preserve">Deze tool geeft relevante achtergrondinformatie over het materiaal EPS, de voordelen ervan, mogelijkheden voor recycling en de milieu-impact. Deze informatie is verkregen via Stybenex. Tevens is diverse informatie te vinden op de website van </w:t>
      </w:r>
      <w:hyperlink r:id="rId6">
        <w:r w:rsidDel="00000000" w:rsidR="00000000" w:rsidRPr="00000000">
          <w:rPr>
            <w:color w:val="1155cc"/>
            <w:u w:val="single"/>
            <w:rtl w:val="0"/>
          </w:rPr>
          <w:t xml:space="preserve">Stybenex</w:t>
        </w:r>
      </w:hyperlink>
      <w:r w:rsidDel="00000000" w:rsidR="00000000" w:rsidRPr="00000000">
        <w:rPr>
          <w:rtl w:val="0"/>
        </w:rPr>
        <w:t xml:space="preserve">.</w:t>
      </w:r>
    </w:p>
    <w:p w:rsidR="00000000" w:rsidDel="00000000" w:rsidP="00000000" w:rsidRDefault="00000000" w:rsidRPr="00000000" w14:paraId="00000007">
      <w:pPr>
        <w:pStyle w:val="Heading1"/>
        <w:rPr/>
      </w:pPr>
      <w:bookmarkStart w:colFirst="0" w:colLast="0" w:name="_a64y2ychetcx" w:id="4"/>
      <w:bookmarkEnd w:id="4"/>
      <w:r w:rsidDel="00000000" w:rsidR="00000000" w:rsidRPr="00000000">
        <w:rPr>
          <w:rtl w:val="0"/>
        </w:rPr>
        <w:t xml:space="preserve">1.3 Template inventarisatie EPS-retoursysteem zorginstelling</w:t>
      </w:r>
    </w:p>
    <w:p w:rsidR="00000000" w:rsidDel="00000000" w:rsidP="00000000" w:rsidRDefault="00000000" w:rsidRPr="00000000" w14:paraId="00000008">
      <w:pPr>
        <w:rPr/>
      </w:pPr>
      <w:r w:rsidDel="00000000" w:rsidR="00000000" w:rsidRPr="00000000">
        <w:rPr>
          <w:rtl w:val="0"/>
        </w:rPr>
        <w:t xml:space="preserve">Door het invullen van deze tool creëert een zorgorganisatie inzicht in de hoeveelheid secundair EPS dat per week bij de zorgorganisatie vrijkomt, van welke afdeling dit komt, wat de frequentie en kwaliteit zijn en hoeveel opslagcapaciteit ervoor nodig en aanwezig is. Tevens brengt het het proces van ontdoening naar inzameling naar verwerking in kaart. Het gaat in op de huidige afvalinzamelaar en/of verwerker en het bijbehorende contract. Als laatst geeft het inzicht in de mate van draagvlak dat er binnen de zorginstelling is om EPS gescheiden in te zamelen.</w:t>
      </w:r>
    </w:p>
    <w:p w:rsidR="00000000" w:rsidDel="00000000" w:rsidP="00000000" w:rsidRDefault="00000000" w:rsidRPr="00000000" w14:paraId="00000009">
      <w:pPr>
        <w:pStyle w:val="Heading1"/>
        <w:rPr/>
      </w:pPr>
      <w:bookmarkStart w:colFirst="0" w:colLast="0" w:name="_f3zrckd38zau" w:id="5"/>
      <w:bookmarkEnd w:id="5"/>
      <w:r w:rsidDel="00000000" w:rsidR="00000000" w:rsidRPr="00000000">
        <w:rPr>
          <w:rtl w:val="0"/>
        </w:rPr>
        <w:t xml:space="preserve">1.4 Overzicht EPS producenten, inzamelaars en verwerkers Nederland</w:t>
      </w:r>
    </w:p>
    <w:p w:rsidR="00000000" w:rsidDel="00000000" w:rsidP="00000000" w:rsidRDefault="00000000" w:rsidRPr="00000000" w14:paraId="0000000A">
      <w:pPr>
        <w:rPr/>
      </w:pPr>
      <w:r w:rsidDel="00000000" w:rsidR="00000000" w:rsidRPr="00000000">
        <w:rPr>
          <w:rtl w:val="0"/>
        </w:rPr>
        <w:t xml:space="preserve">In dit overzicht zijn de bij Stybenex bekende EPS-producenten, -inzamelaars en -verwerkers weergegeven. Hun organisatienaam, welk deel van de keten ze voorzien, provincie en adres van vestiging en contactgegevens (email en telefoon) zijn erin opgenomen.</w:t>
      </w:r>
    </w:p>
    <w:p w:rsidR="00000000" w:rsidDel="00000000" w:rsidP="00000000" w:rsidRDefault="00000000" w:rsidRPr="00000000" w14:paraId="0000000B">
      <w:pPr>
        <w:pStyle w:val="Heading1"/>
        <w:rPr/>
      </w:pPr>
      <w:bookmarkStart w:colFirst="0" w:colLast="0" w:name="_56k8z5lwx245" w:id="6"/>
      <w:bookmarkEnd w:id="6"/>
      <w:r w:rsidDel="00000000" w:rsidR="00000000" w:rsidRPr="00000000">
        <w:rPr>
          <w:rtl w:val="0"/>
        </w:rPr>
        <w:t xml:space="preserve">1.5 Template opzet pilot EPS-retoursysteem voor zorgorganisaties</w:t>
      </w:r>
    </w:p>
    <w:p w:rsidR="00000000" w:rsidDel="00000000" w:rsidP="00000000" w:rsidRDefault="00000000" w:rsidRPr="00000000" w14:paraId="0000000C">
      <w:pPr>
        <w:rPr/>
      </w:pPr>
      <w:r w:rsidDel="00000000" w:rsidR="00000000" w:rsidRPr="00000000">
        <w:rPr>
          <w:rtl w:val="0"/>
        </w:rPr>
        <w:t xml:space="preserve">Deze template is te gebruiken om gezamenlijk met alle betrokkenen een pilotopzet voor een EPS-retoursysteem voor zorgorganisaties op te stellen. Hierin worden de aanleiding, het doel en beoogde resultaten, looptijd, organisatie, aanpak, randvoorwaarden en contactgegevens weergegeven. Zodat iedereen vanuit hetzelfde vertrekpunt met de pilot start. </w:t>
      </w:r>
    </w:p>
    <w:p w:rsidR="00000000" w:rsidDel="00000000" w:rsidP="00000000" w:rsidRDefault="00000000" w:rsidRPr="00000000" w14:paraId="0000000D">
      <w:pPr>
        <w:pStyle w:val="Heading1"/>
        <w:rPr/>
      </w:pPr>
      <w:bookmarkStart w:colFirst="0" w:colLast="0" w:name="_qpbmny6ymtc9" w:id="7"/>
      <w:bookmarkEnd w:id="7"/>
      <w:r w:rsidDel="00000000" w:rsidR="00000000" w:rsidRPr="00000000">
        <w:rPr>
          <w:rtl w:val="0"/>
        </w:rPr>
        <w:t xml:space="preserve">1.6 Juridische kaders EPS-retoursysteem voor zorgorganisaties</w:t>
      </w:r>
    </w:p>
    <w:p w:rsidR="00000000" w:rsidDel="00000000" w:rsidP="00000000" w:rsidRDefault="00000000" w:rsidRPr="00000000" w14:paraId="0000000E">
      <w:pPr>
        <w:rPr/>
      </w:pPr>
      <w:r w:rsidDel="00000000" w:rsidR="00000000" w:rsidRPr="00000000">
        <w:rPr>
          <w:rtl w:val="0"/>
        </w:rPr>
        <w:t xml:space="preserve">Bij het opzetten van een EPS-retoursysteem is het belangrijk om vooraf inzicht te krijgen in de juridische status van de materiaalstroom. Deze tool helpt organisaties om te beoordelen of EPS mogelijk wordt gezien als: 1) afvalstof of 2) materiaal voor voortgezet gebruik. Daarnaast helpt de tool om te bepalen 1) welke juridische aandachtspunten relevant zijn, 2) wanneer aanvullende juridische toetsing nodig is en 3) wanneer afstemming met de omgevingsdienst en/of andere ketenpartners wenselijk is.</w:t>
      </w:r>
    </w:p>
    <w:p w:rsidR="00000000" w:rsidDel="00000000" w:rsidP="00000000" w:rsidRDefault="00000000" w:rsidRPr="00000000" w14:paraId="0000000F">
      <w:pPr>
        <w:pStyle w:val="Heading1"/>
        <w:rPr/>
      </w:pPr>
      <w:bookmarkStart w:colFirst="0" w:colLast="0" w:name="_hiurmbqc5rt2" w:id="8"/>
      <w:bookmarkEnd w:id="8"/>
      <w:r w:rsidDel="00000000" w:rsidR="00000000" w:rsidRPr="00000000">
        <w:rPr>
          <w:rtl w:val="0"/>
        </w:rPr>
        <w:t xml:space="preserve">1.7 Template interne oplegger besluitvorming EPS-retoursysteem voor zorgorganisaties</w:t>
      </w:r>
    </w:p>
    <w:p w:rsidR="00000000" w:rsidDel="00000000" w:rsidP="00000000" w:rsidRDefault="00000000" w:rsidRPr="00000000" w14:paraId="00000010">
      <w:pPr>
        <w:rPr/>
      </w:pPr>
      <w:r w:rsidDel="00000000" w:rsidR="00000000" w:rsidRPr="00000000">
        <w:rPr>
          <w:rtl w:val="0"/>
        </w:rPr>
        <w:t xml:space="preserve">Deze oplegger is bedoeld om bondig en concreet akkoord te vragen aan bestuurders van een zorgorganisatie om een EPS-retoursysteem te starten. Dit document beschrijft de aanleiding, het doel en beoogde resultaten, looptijd, aanpak, organisatie, risico’s en gevraagde middelen vanuit de zorginstelling.</w:t>
      </w:r>
    </w:p>
    <w:p w:rsidR="00000000" w:rsidDel="00000000" w:rsidP="00000000" w:rsidRDefault="00000000" w:rsidRPr="00000000" w14:paraId="00000011">
      <w:pPr>
        <w:pStyle w:val="Heading1"/>
        <w:rPr/>
      </w:pPr>
      <w:bookmarkStart w:colFirst="0" w:colLast="0" w:name="_t9riaybliivc" w:id="9"/>
      <w:bookmarkEnd w:id="9"/>
      <w:r w:rsidDel="00000000" w:rsidR="00000000" w:rsidRPr="00000000">
        <w:rPr>
          <w:rtl w:val="0"/>
        </w:rPr>
        <w:t xml:space="preserve">1.8 Instructiepresentatie voor medewerkers over het EPS-retoursysteem voor zorgorganisaties</w:t>
      </w:r>
    </w:p>
    <w:p w:rsidR="00000000" w:rsidDel="00000000" w:rsidP="00000000" w:rsidRDefault="00000000" w:rsidRPr="00000000" w14:paraId="00000012">
      <w:pPr>
        <w:rPr/>
      </w:pPr>
      <w:r w:rsidDel="00000000" w:rsidR="00000000" w:rsidRPr="00000000">
        <w:rPr>
          <w:rtl w:val="0"/>
        </w:rPr>
        <w:t xml:space="preserve">Deze presentatie is in te zetten om medewerkers te informeren en enthousiasmeren om met het EPS-retoursysteem voor de zorgorganisatie aan de slag te gaan. Dit kan zijn voor medewerkers van meerdere ketenpartners, net wat hierbij relevant is. De presentatie bestaat uit een korte introductie, waarom dit EPS-retoursysteem, hoe deze werkt, wat het betekent voor de medewerkers, wie de samenwerkingspartners zijn en wie intern te contacten is bij vragen en opmerkingen.</w:t>
      </w:r>
    </w:p>
    <w:p w:rsidR="00000000" w:rsidDel="00000000" w:rsidP="00000000" w:rsidRDefault="00000000" w:rsidRPr="00000000" w14:paraId="00000013">
      <w:pPr>
        <w:pStyle w:val="Heading1"/>
        <w:rPr/>
      </w:pPr>
      <w:bookmarkStart w:colFirst="0" w:colLast="0" w:name="_ri67yy1vm24b" w:id="10"/>
      <w:bookmarkEnd w:id="10"/>
      <w:r w:rsidDel="00000000" w:rsidR="00000000" w:rsidRPr="00000000">
        <w:rPr>
          <w:rtl w:val="0"/>
        </w:rPr>
        <w:t xml:space="preserve">1.9 Communicatiemateriaal</w:t>
      </w:r>
    </w:p>
    <w:p w:rsidR="00000000" w:rsidDel="00000000" w:rsidP="00000000" w:rsidRDefault="00000000" w:rsidRPr="00000000" w14:paraId="00000014">
      <w:pPr>
        <w:rPr/>
      </w:pPr>
      <w:r w:rsidDel="00000000" w:rsidR="00000000" w:rsidRPr="00000000">
        <w:rPr>
          <w:rtl w:val="0"/>
        </w:rPr>
        <w:t xml:space="preserve">Tijdens de uitgevoerde pilots door Stybenex Verpakkingen is gebleken dat enkele standaard communicatiematerialen handig kunnen zijn voor communicatie over het gestarte EPS-retoursysteem. De communicatiematerialen in deze tool zijn: 1) poster EPS-inzameling voor medewerkers voor bij bijvoorbeeld het inzamelmiddel, 2) opzet van een intranetbericht voor de start van het EPS-retoursysteem en 3) een video die laat zien hoe het EPS-retoursysteem in zijn werk gaat bij logistiek ondersteuner Zorgservice XL in samenwerking met enkele ziekenhuizen en Hordijk EPS Verpakkingen en Isolatieproducten.</w:t>
      </w:r>
    </w:p>
    <w:p w:rsidR="00000000" w:rsidDel="00000000" w:rsidP="00000000" w:rsidRDefault="00000000" w:rsidRPr="00000000" w14:paraId="00000015">
      <w:pPr>
        <w:pStyle w:val="Heading1"/>
        <w:rPr/>
      </w:pPr>
      <w:bookmarkStart w:colFirst="0" w:colLast="0" w:name="_co8qob1n61iy" w:id="11"/>
      <w:bookmarkEnd w:id="11"/>
      <w:r w:rsidDel="00000000" w:rsidR="00000000" w:rsidRPr="00000000">
        <w:rPr>
          <w:rtl w:val="0"/>
        </w:rPr>
        <w:t xml:space="preserve">1.10 Template rekenmodel EPS-retoursysteem voor zorgorganisaties</w:t>
      </w:r>
    </w:p>
    <w:p w:rsidR="00000000" w:rsidDel="00000000" w:rsidP="00000000" w:rsidRDefault="00000000" w:rsidRPr="00000000" w14:paraId="00000016">
      <w:pPr>
        <w:rPr>
          <w:color w:val="010341"/>
        </w:rPr>
      </w:pPr>
      <w:r w:rsidDel="00000000" w:rsidR="00000000" w:rsidRPr="00000000">
        <w:rPr>
          <w:rtl w:val="0"/>
        </w:rPr>
        <w:t xml:space="preserve">Deze tool is te gebruiken om met een vaste frequentie (bijvoorbeeld maandelijks) de resultaten gedurende de pilotperiode (en eventueel daarna) te monitoren. Het geeft met name inzicht in de hoeveelheid ingezameld secundair EPS, de kwaliteit ervan, de businesscase, milieu-impact, praktijkervaringen van alle betrokkenen en eventueel nog uit te voeren acties voor het volgende voortgangsoverleg.</w:t>
      </w:r>
      <w:r w:rsidDel="00000000" w:rsidR="00000000" w:rsidRPr="00000000">
        <w:rPr>
          <w:rtl w:val="0"/>
        </w:rPr>
      </w:r>
    </w:p>
    <w:sectPr>
      <w:headerReference r:id="rId7" w:type="default"/>
      <w:footerReference r:id="rId8" w:type="default"/>
      <w:pgSz w:h="16838" w:w="11906" w:orient="portrait"/>
      <w:pgMar w:bottom="1133.8582677165355" w:top="2267.716535433071" w:left="1133.8582677165355" w:right="1133.8582677165355" w:header="765.3543307086615" w:footer="595.275590551181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Nunito Sans Extra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ace Grotesk">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jc w:val="both"/>
      <w:rPr>
        <w:sz w:val="16"/>
        <w:szCs w:val="16"/>
      </w:rPr>
    </w:pPr>
    <w:r w:rsidDel="00000000" w:rsidR="00000000" w:rsidRPr="00000000">
      <w:rPr>
        <w:rtl w:val="0"/>
      </w:rPr>
    </w:r>
  </w:p>
  <w:tbl>
    <w:tblPr>
      <w:tblStyle w:val="Table2"/>
      <w:tblW w:w="9600.0" w:type="dxa"/>
      <w:jc w:val="left"/>
      <w:tblLayout w:type="fixed"/>
      <w:tblLook w:val="0600"/>
    </w:tblPr>
    <w:tblGrid>
      <w:gridCol w:w="5835"/>
      <w:gridCol w:w="3765"/>
      <w:tblGridChange w:id="0">
        <w:tblGrid>
          <w:gridCol w:w="5835"/>
          <w:gridCol w:w="3765"/>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1F">
          <w:pPr>
            <w:jc w:val="both"/>
            <w:rPr>
              <w:sz w:val="16"/>
              <w:szCs w:val="16"/>
            </w:rPr>
          </w:pPr>
          <w:r w:rsidDel="00000000" w:rsidR="00000000" w:rsidRPr="00000000">
            <w:rPr>
              <w:sz w:val="16"/>
              <w:szCs w:val="16"/>
              <w:rtl w:val="0"/>
            </w:rPr>
            <w:t xml:space="preserve">Handleiding toolkit EPS-retoursysteem voor zorgorganisaties | 09-2026</w:t>
            <w:tab/>
            <w:tab/>
            <w:tab/>
          </w:r>
        </w:p>
      </w:tc>
      <w:tc>
        <w:tcPr>
          <w:shd w:fill="auto" w:val="clear"/>
          <w:tcMar>
            <w:top w:w="0.0" w:type="dxa"/>
            <w:left w:w="0.0" w:type="dxa"/>
            <w:bottom w:w="0.0" w:type="dxa"/>
            <w:right w:w="0.0" w:type="dxa"/>
          </w:tcMar>
          <w:vAlign w:val="top"/>
        </w:tcPr>
        <w:p w:rsidR="00000000" w:rsidDel="00000000" w:rsidP="00000000" w:rsidRDefault="00000000" w:rsidRPr="00000000" w14:paraId="00000020">
          <w:pPr>
            <w:jc w:val="right"/>
            <w:rPr>
              <w:sz w:val="16"/>
              <w:szCs w:val="16"/>
            </w:rPr>
          </w:pP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21">
    <w:pPr>
      <w:jc w:val="both"/>
      <w:rPr>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sz w:val="2"/>
        <w:szCs w:val="2"/>
      </w:rPr>
    </w:pPr>
    <w:r w:rsidDel="00000000" w:rsidR="00000000" w:rsidRPr="00000000">
      <w:rPr>
        <w:rtl w:val="0"/>
      </w:rPr>
    </w:r>
  </w:p>
  <w:tbl>
    <w:tblPr>
      <w:tblStyle w:val="Table1"/>
      <w:tblW w:w="98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5040"/>
      <w:tblGridChange w:id="0">
        <w:tblGrid>
          <w:gridCol w:w="4800"/>
          <w:gridCol w:w="504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8">
          <w:pPr>
            <w:rPr/>
          </w:pPr>
          <w:r w:rsidDel="00000000" w:rsidR="00000000" w:rsidRPr="00000000">
            <w:rPr/>
            <w:drawing>
              <wp:inline distB="114300" distT="114300" distL="114300" distR="114300">
                <wp:extent cx="1913663" cy="499216"/>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13663" cy="499216"/>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9">
          <w:pPr>
            <w:pStyle w:val="Title"/>
            <w:rPr>
              <w:sz w:val="16"/>
              <w:szCs w:val="16"/>
            </w:rPr>
          </w:pPr>
          <w:bookmarkStart w:colFirst="0" w:colLast="0" w:name="_27ji67o7u6ji" w:id="12"/>
          <w:bookmarkEnd w:id="12"/>
          <w:r w:rsidDel="00000000" w:rsidR="00000000" w:rsidRPr="00000000">
            <w:rPr>
              <w:rtl w:val="0"/>
            </w:rPr>
          </w:r>
        </w:p>
        <w:p w:rsidR="00000000" w:rsidDel="00000000" w:rsidP="00000000" w:rsidRDefault="00000000" w:rsidRPr="00000000" w14:paraId="0000001A">
          <w:pPr>
            <w:pStyle w:val="Title"/>
            <w:rPr>
              <w:b w:val="0"/>
              <w:bCs w:val="0"/>
              <w:sz w:val="16"/>
              <w:szCs w:val="16"/>
            </w:rPr>
          </w:pPr>
          <w:bookmarkStart w:colFirst="0" w:colLast="0" w:name="_xwvbw2dj85oq" w:id="13"/>
          <w:bookmarkEnd w:id="13"/>
          <w:r w:rsidDel="00000000" w:rsidR="00000000" w:rsidRPr="00000000">
            <w:rPr>
              <w:sz w:val="16"/>
              <w:szCs w:val="16"/>
              <w:rtl w:val="0"/>
            </w:rPr>
            <w:t xml:space="preserve">Handleiding </w:t>
          </w:r>
          <w:r w:rsidDel="00000000" w:rsidR="00000000" w:rsidRPr="00000000">
            <w:rPr>
              <w:rtl w:val="0"/>
            </w:rPr>
          </w:r>
        </w:p>
        <w:p w:rsidR="00000000" w:rsidDel="00000000" w:rsidP="00000000" w:rsidRDefault="00000000" w:rsidRPr="00000000" w14:paraId="0000001B">
          <w:pPr>
            <w:rPr>
              <w:sz w:val="16"/>
              <w:szCs w:val="16"/>
            </w:rPr>
          </w:pPr>
          <w:r w:rsidDel="00000000" w:rsidR="00000000" w:rsidRPr="00000000">
            <w:rPr>
              <w:b w:val="1"/>
              <w:bCs w:val="1"/>
              <w:sz w:val="16"/>
              <w:szCs w:val="16"/>
              <w:rtl w:val="0"/>
            </w:rPr>
            <w:t xml:space="preserve">Onderwerp:</w:t>
          </w:r>
          <w:r w:rsidDel="00000000" w:rsidR="00000000" w:rsidRPr="00000000">
            <w:rPr>
              <w:sz w:val="16"/>
              <w:szCs w:val="16"/>
              <w:rtl w:val="0"/>
            </w:rPr>
            <w:t xml:space="preserve"> Toolkit EPS-retoursysteem voor zorgorganisaties</w:t>
          </w:r>
        </w:p>
        <w:p w:rsidR="00000000" w:rsidDel="00000000" w:rsidP="00000000" w:rsidRDefault="00000000" w:rsidRPr="00000000" w14:paraId="0000001C">
          <w:pPr>
            <w:rPr/>
          </w:pPr>
          <w:r w:rsidDel="00000000" w:rsidR="00000000" w:rsidRPr="00000000">
            <w:rPr>
              <w:b w:val="1"/>
              <w:bCs w:val="1"/>
              <w:sz w:val="16"/>
              <w:szCs w:val="16"/>
              <w:rtl w:val="0"/>
            </w:rPr>
            <w:t xml:space="preserve">Datum:</w:t>
          </w:r>
          <w:r w:rsidDel="00000000" w:rsidR="00000000" w:rsidRPr="00000000">
            <w:rPr>
              <w:sz w:val="16"/>
              <w:szCs w:val="16"/>
              <w:rtl w:val="0"/>
            </w:rPr>
            <w:t xml:space="preserve"> september 2026</w:t>
          </w:r>
          <w:r w:rsidDel="00000000" w:rsidR="00000000" w:rsidRPr="00000000">
            <w:rPr>
              <w:rtl w:val="0"/>
            </w:rPr>
          </w:r>
        </w:p>
      </w:tc>
    </w:tr>
  </w:tbl>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pace Grotesk" w:cs="Space Grotesk" w:eastAsia="Space Grotesk" w:hAnsi="Space Grotesk"/>
        <w:color w:val="010341"/>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color w:val="010341"/>
      <w:sz w:val="40"/>
      <w:szCs w:val="40"/>
    </w:rPr>
  </w:style>
  <w:style w:type="paragraph" w:styleId="Heading2">
    <w:name w:val="heading 2"/>
    <w:basedOn w:val="Normal"/>
    <w:next w:val="Normal"/>
    <w:pPr>
      <w:keepNext w:val="1"/>
      <w:keepLines w:val="1"/>
      <w:spacing w:after="120" w:before="360" w:lineRule="auto"/>
    </w:pPr>
    <w:rPr>
      <w:b w:val="1"/>
      <w:bCs w:val="1"/>
      <w:color w:val="010341"/>
      <w:sz w:val="32"/>
      <w:szCs w:val="32"/>
    </w:rPr>
  </w:style>
  <w:style w:type="paragraph" w:styleId="Heading3">
    <w:name w:val="heading 3"/>
    <w:basedOn w:val="Normal"/>
    <w:next w:val="Normal"/>
    <w:pPr>
      <w:keepNext w:val="1"/>
      <w:keepLines w:val="1"/>
      <w:spacing w:after="80" w:before="320" w:lineRule="auto"/>
    </w:pPr>
    <w:rPr>
      <w:b w:val="1"/>
      <w:bCs w:val="1"/>
      <w:color w:val="63b56e"/>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Pr>
    <w:rPr>
      <w:b w:val="1"/>
      <w:bCs w:val="1"/>
      <w:sz w:val="52"/>
      <w:szCs w:val="52"/>
    </w:rPr>
  </w:style>
  <w:style w:type="paragraph" w:styleId="Subtitle">
    <w:name w:val="Subtitle"/>
    <w:basedOn w:val="Normal"/>
    <w:next w:val="Normal"/>
    <w:pPr>
      <w:keepNext w:val="1"/>
      <w:keepLines w:val="1"/>
      <w:spacing w:after="200" w:line="240" w:lineRule="auto"/>
    </w:pPr>
    <w:rPr>
      <w:rFonts w:ascii="Nunito Sans ExtraLight" w:cs="Nunito Sans ExtraLight" w:eastAsia="Nunito Sans ExtraLight" w:hAnsi="Nunito Sans ExtraLight"/>
      <w:color w:val="010341"/>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tybenex.nl/downloads/"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unitoSansExtraLight-regular.ttf"/><Relationship Id="rId2" Type="http://schemas.openxmlformats.org/officeDocument/2006/relationships/font" Target="fonts/NunitoSansExtraLight-bold.ttf"/><Relationship Id="rId3" Type="http://schemas.openxmlformats.org/officeDocument/2006/relationships/font" Target="fonts/NunitoSansExtraLight-italic.ttf"/><Relationship Id="rId4" Type="http://schemas.openxmlformats.org/officeDocument/2006/relationships/font" Target="fonts/NunitoSansExtraLight-boldItalic.ttf"/><Relationship Id="rId5" Type="http://schemas.openxmlformats.org/officeDocument/2006/relationships/font" Target="fonts/SpaceGrotesk-regular.ttf"/><Relationship Id="rId6" Type="http://schemas.openxmlformats.org/officeDocument/2006/relationships/font" Target="fonts/SpaceGrotesk-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